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7E7AF2" w:rsidTr="00E00087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7E7AF2" w:rsidRPr="009A40A8" w:rsidRDefault="007E7AF2" w:rsidP="00E00087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7E7AF2" w:rsidRPr="00B87F8F" w:rsidRDefault="007E7AF2" w:rsidP="00E00087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7E7AF2" w:rsidRDefault="007E7AF2"/>
    <w:p w:rsidR="007E7AF2" w:rsidRPr="00E75E92" w:rsidRDefault="007E7AF2" w:rsidP="007E7AF2">
      <w:pPr>
        <w:spacing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Latn-CS"/>
        </w:rPr>
        <w:t>XIV</w:t>
      </w:r>
      <w:r w:rsidRPr="00B87F8F">
        <w:rPr>
          <w:rFonts w:ascii="Arial" w:hAnsi="Arial" w:cs="Arial"/>
          <w:sz w:val="28"/>
          <w:szCs w:val="28"/>
          <w:lang w:val="sr-Latn-CS"/>
        </w:rPr>
        <w:t xml:space="preserve"> </w:t>
      </w:r>
      <w:r w:rsidRPr="00B87F8F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7E7AF2" w:rsidRPr="00A31527" w:rsidRDefault="007E7AF2" w:rsidP="007E7AF2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Грађа и улога цемента</w:t>
      </w:r>
    </w:p>
    <w:p w:rsidR="007E7AF2" w:rsidRPr="00A31527" w:rsidRDefault="007E7AF2" w:rsidP="007E7AF2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Хронолошка</w:t>
      </w:r>
      <w:r>
        <w:rPr>
          <w:rFonts w:ascii="Arial" w:hAnsi="Arial" w:cs="Arial"/>
          <w:sz w:val="22"/>
          <w:szCs w:val="22"/>
          <w:lang w:val="sr-Cyrl-CS"/>
        </w:rPr>
        <w:t xml:space="preserve"> и морфолошка</w:t>
      </w:r>
      <w:r>
        <w:rPr>
          <w:rFonts w:ascii="Arial" w:hAnsi="Arial" w:cs="Arial"/>
          <w:sz w:val="22"/>
          <w:szCs w:val="22"/>
          <w:lang w:val="sr-Latn-CS"/>
        </w:rPr>
        <w:t xml:space="preserve"> класификација цемента</w:t>
      </w:r>
    </w:p>
    <w:p w:rsidR="007E7AF2" w:rsidRPr="00A31527" w:rsidRDefault="007E7AF2" w:rsidP="007E7AF2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Колагена влакна у цементу</w:t>
      </w:r>
    </w:p>
    <w:p w:rsidR="007E7AF2" w:rsidRPr="00A31527" w:rsidRDefault="007E7AF2" w:rsidP="007E7AF2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Цементобласти</w:t>
      </w:r>
    </w:p>
    <w:p w:rsidR="007E7AF2" w:rsidRPr="00A31527" w:rsidRDefault="007E7AF2" w:rsidP="007E7AF2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Цементоцити</w:t>
      </w:r>
    </w:p>
    <w:p w:rsidR="007E7AF2" w:rsidRPr="00A31527" w:rsidRDefault="007E7AF2" w:rsidP="007E7AF2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Периодонцијум</w:t>
      </w:r>
    </w:p>
    <w:p w:rsidR="007E7AF2" w:rsidRPr="00416043" w:rsidRDefault="007E7AF2" w:rsidP="007E7AF2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Влакна периодонцијума (група алвеоларног гребена, хоризонтална група)</w:t>
      </w:r>
    </w:p>
    <w:p w:rsidR="007E7AF2" w:rsidRPr="00416043" w:rsidRDefault="007E7AF2" w:rsidP="007E7AF2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Влакна периодонцијума (коса група, апикална група, интеррадикуларна група)</w:t>
      </w:r>
    </w:p>
    <w:p w:rsidR="007E7AF2" w:rsidRPr="00416043" w:rsidRDefault="007E7AF2" w:rsidP="007E7AF2">
      <w:pPr>
        <w:numPr>
          <w:ilvl w:val="0"/>
          <w:numId w:val="1"/>
        </w:numPr>
        <w:spacing w:after="120"/>
        <w:ind w:left="1497" w:hanging="357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Шарпејева и гингивална влакна</w:t>
      </w:r>
    </w:p>
    <w:p w:rsidR="007E7AF2" w:rsidRPr="00CD33D0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Дентогингивална влакна, алвеогингивална, циркуларна, дентопериостална</w:t>
      </w:r>
    </w:p>
    <w:p w:rsidR="007E7AF2" w:rsidRPr="00CD33D0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Транссептална влакна</w:t>
      </w:r>
    </w:p>
    <w:p w:rsidR="007E7AF2" w:rsidRPr="00CD33D0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Ћелије периодонцијума</w:t>
      </w:r>
    </w:p>
    <w:p w:rsidR="007E7AF2" w:rsidRPr="00CD33D0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Васкуларизација и инервација периодонцијума</w:t>
      </w:r>
    </w:p>
    <w:p w:rsidR="007E7AF2" w:rsidRPr="00CD33D0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Функције периодонцијума</w:t>
      </w:r>
    </w:p>
    <w:p w:rsidR="007E7AF2" w:rsidRPr="00CD33D0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Регенеративни и репаративни потенцијал периодонцијума</w:t>
      </w:r>
    </w:p>
    <w:p w:rsidR="007E7AF2" w:rsidRPr="00D57133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Унутрашњи зид алвеоле</w:t>
      </w:r>
    </w:p>
    <w:p w:rsidR="007E7AF2" w:rsidRPr="00D57133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Ремоделација унутрашњег зида алвеоле</w:t>
      </w:r>
    </w:p>
    <w:p w:rsidR="007E7AF2" w:rsidRPr="00D57133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Општа грађа гингиве</w:t>
      </w:r>
    </w:p>
    <w:p w:rsidR="007E7AF2" w:rsidRPr="00D57133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Епител гингиве</w:t>
      </w:r>
      <w:r>
        <w:rPr>
          <w:rFonts w:ascii="Arial" w:hAnsi="Arial" w:cs="Arial"/>
          <w:sz w:val="22"/>
          <w:szCs w:val="22"/>
          <w:lang w:val="sr-Cyrl-CS"/>
        </w:rPr>
        <w:t xml:space="preserve"> (припојни, орални и сулкусни)</w:t>
      </w:r>
    </w:p>
    <w:p w:rsidR="007E7AF2" w:rsidRPr="00E5393F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Гингивални сулкус</w:t>
      </w:r>
    </w:p>
    <w:p w:rsidR="007E7AF2" w:rsidRPr="00E5393F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Ћелије гингивалног епитела</w:t>
      </w:r>
    </w:p>
    <w:p w:rsidR="007E7AF2" w:rsidRPr="00E5393F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Васкуларизација гингиве</w:t>
      </w:r>
    </w:p>
    <w:p w:rsidR="007E7AF2" w:rsidRPr="00E5393F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Инервација гингиве</w:t>
      </w:r>
    </w:p>
    <w:p w:rsidR="007E7AF2" w:rsidRPr="00E5393F" w:rsidRDefault="007E7AF2" w:rsidP="007E7AF2">
      <w:pPr>
        <w:numPr>
          <w:ilvl w:val="0"/>
          <w:numId w:val="1"/>
        </w:numPr>
        <w:spacing w:after="120"/>
        <w:ind w:left="1497" w:hanging="35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Latn-CS"/>
        </w:rPr>
        <w:t>Регенеративни и репаративни потенцијал гингиве</w:t>
      </w:r>
    </w:p>
    <w:p w:rsidR="007E7AF2" w:rsidRDefault="007E7AF2"/>
    <w:sectPr w:rsidR="007E7AF2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57A1"/>
    <w:multiLevelType w:val="hybridMultilevel"/>
    <w:tmpl w:val="1AEC54BE"/>
    <w:lvl w:ilvl="0" w:tplc="040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7AF2"/>
    <w:rsid w:val="007E7AF2"/>
    <w:rsid w:val="00A53529"/>
    <w:rsid w:val="00B5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E7AF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7AF2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2014-07-01T17:42:00Z</dcterms:created>
  <dcterms:modified xsi:type="dcterms:W3CDTF">2014-07-01T17:43:00Z</dcterms:modified>
</cp:coreProperties>
</file>